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证券代码：000881                证券简称：中广核技                公告编号：</w:t>
      </w:r>
      <w:r>
        <w:rPr>
          <w:rFonts w:hint="default" w:ascii="Times New Roman" w:hAnsi="Times New Roman" w:eastAsia="宋体" w:cs="Times New Roman"/>
          <w:sz w:val="21"/>
          <w:szCs w:val="21"/>
          <w:lang w:val="en-US" w:eastAsia="zh-CN"/>
        </w:rPr>
        <w:t>2024-05</w:t>
      </w:r>
      <w:r>
        <w:rPr>
          <w:rFonts w:hint="eastAsia" w:cs="Times New Roman"/>
          <w:sz w:val="21"/>
          <w:szCs w:val="21"/>
          <w:lang w:val="en-US" w:eastAsia="zh-CN"/>
        </w:rPr>
        <w:t>5</w:t>
      </w:r>
    </w:p>
    <w:p>
      <w:pPr>
        <w:spacing w:before="0" w:after="1000" w:line="400" w:lineRule="exact"/>
        <w:jc w:val="center"/>
        <w:rPr>
          <w:rFonts w:ascii="宋体" w:hAnsi="宋体" w:eastAsia="宋体" w:cs="宋体"/>
          <w:b/>
          <w:bCs/>
          <w:sz w:val="36"/>
          <w:szCs w:val="36"/>
        </w:rPr>
      </w:pPr>
      <w:r>
        <w:rPr>
          <w:rFonts w:ascii="宋体" w:hAnsi="宋体" w:eastAsia="宋体" w:cs="宋体"/>
          <w:b/>
          <w:bCs/>
          <w:sz w:val="36"/>
          <w:szCs w:val="36"/>
        </w:rPr>
        <w:t>中广核核技术发展股份有限公司2024年半年度报告摘要</w:t>
      </w:r>
    </w:p>
    <w:p/>
    <w:p>
      <w:pPr>
        <w:keepNext/>
        <w:keepLines/>
        <w:spacing w:before="300" w:after="300" w:line="320" w:lineRule="exact"/>
        <w:jc w:val="left"/>
        <w:outlineLvl w:val="1"/>
        <w:rPr>
          <w:rFonts w:ascii="宋体" w:hAnsi="宋体" w:eastAsia="宋体" w:cs="宋体"/>
          <w:b/>
          <w:bCs/>
          <w:sz w:val="24"/>
          <w:szCs w:val="24"/>
        </w:rPr>
      </w:pPr>
      <w:bookmarkStart w:id="0" w:name="_Toc988889"/>
      <w:r>
        <w:rPr>
          <w:rFonts w:ascii="宋体" w:hAnsi="宋体" w:eastAsia="宋体" w:cs="宋体"/>
          <w:b/>
          <w:bCs/>
          <w:sz w:val="24"/>
          <w:szCs w:val="24"/>
        </w:rPr>
        <w:t>一、重要提示</w:t>
      </w:r>
      <w:bookmarkEnd w:id="0"/>
    </w:p>
    <w:p>
      <w:pPr>
        <w:keepNext w:val="0"/>
        <w:keepLines w:val="0"/>
        <w:pageBreakBefore w:val="0"/>
        <w:widowControl w:val="0"/>
        <w:kinsoku/>
        <w:wordWrap/>
        <w:overflowPunct/>
        <w:topLinePunct w:val="0"/>
        <w:autoSpaceDE/>
        <w:autoSpaceDN/>
        <w:bidi w:val="0"/>
        <w:adjustRightInd/>
        <w:snapToGrid/>
        <w:spacing w:before="40" w:after="40" w:line="360" w:lineRule="auto"/>
        <w:jc w:val="left"/>
        <w:textAlignment w:val="auto"/>
        <w:rPr>
          <w:rFonts w:ascii="宋体" w:hAnsi="宋体" w:eastAsia="宋体" w:cs="宋体"/>
          <w:sz w:val="21"/>
          <w:szCs w:val="21"/>
        </w:rPr>
      </w:pPr>
      <w:r>
        <w:rPr>
          <w:rFonts w:ascii="宋体" w:hAnsi="宋体" w:eastAsia="宋体" w:cs="宋体"/>
          <w:sz w:val="21"/>
          <w:szCs w:val="21"/>
        </w:rPr>
        <w:t>本半年度报告摘要来自半年度报告全文，为全面了解本公司的经营成果、财务状况及未来发展规划，投资者应当到证监会指定媒体仔细阅读半年度报告全文。</w:t>
      </w:r>
    </w:p>
    <w:p>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ascii="宋体" w:hAnsi="宋体" w:eastAsia="宋体" w:cs="宋体"/>
          <w:sz w:val="21"/>
          <w:szCs w:val="21"/>
        </w:rPr>
      </w:pPr>
      <w:r>
        <w:rPr>
          <w:rFonts w:ascii="宋体" w:hAnsi="宋体" w:eastAsia="宋体" w:cs="宋体"/>
          <w:sz w:val="21"/>
          <w:szCs w:val="21"/>
        </w:rPr>
        <w:t>所有董事均已出席了审议本报告的董事会会议。</w:t>
      </w:r>
    </w:p>
    <w:p>
      <w:pPr>
        <w:keepNext w:val="0"/>
        <w:keepLines w:val="0"/>
        <w:pageBreakBefore w:val="0"/>
        <w:widowControl w:val="0"/>
        <w:kinsoku/>
        <w:wordWrap/>
        <w:overflowPunct/>
        <w:topLinePunct w:val="0"/>
        <w:autoSpaceDE/>
        <w:autoSpaceDN/>
        <w:bidi w:val="0"/>
        <w:adjustRightInd/>
        <w:snapToGrid/>
        <w:spacing w:before="100" w:after="100" w:line="360" w:lineRule="auto"/>
        <w:jc w:val="left"/>
        <w:textAlignment w:val="auto"/>
        <w:rPr>
          <w:rFonts w:ascii="宋体" w:hAnsi="宋体" w:eastAsia="宋体" w:cs="宋体"/>
          <w:sz w:val="21"/>
          <w:szCs w:val="21"/>
        </w:rPr>
      </w:pPr>
      <w:r>
        <w:rPr>
          <w:rFonts w:ascii="宋体" w:hAnsi="宋体" w:eastAsia="宋体" w:cs="宋体"/>
          <w:sz w:val="21"/>
          <w:szCs w:val="21"/>
        </w:rPr>
        <w:t>非标准审计意见提示</w:t>
      </w:r>
    </w:p>
    <w:p>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val="0"/>
        <w:keepLines w:val="0"/>
        <w:pageBreakBefore w:val="0"/>
        <w:widowControl w:val="0"/>
        <w:kinsoku/>
        <w:wordWrap/>
        <w:overflowPunct/>
        <w:topLinePunct w:val="0"/>
        <w:autoSpaceDE/>
        <w:autoSpaceDN/>
        <w:bidi w:val="0"/>
        <w:adjustRightInd/>
        <w:snapToGrid/>
        <w:spacing w:before="100" w:after="40" w:line="360" w:lineRule="auto"/>
        <w:jc w:val="left"/>
        <w:textAlignment w:val="auto"/>
        <w:rPr>
          <w:rFonts w:ascii="宋体" w:hAnsi="宋体" w:eastAsia="宋体" w:cs="宋体"/>
          <w:sz w:val="21"/>
          <w:szCs w:val="21"/>
        </w:rPr>
      </w:pPr>
      <w:r>
        <w:rPr>
          <w:rFonts w:ascii="宋体" w:hAnsi="宋体" w:eastAsia="宋体" w:cs="宋体"/>
          <w:sz w:val="21"/>
          <w:szCs w:val="21"/>
        </w:rPr>
        <w:t>董事会审议的报告期利润分配预案或公积金转增股本预案</w:t>
      </w:r>
    </w:p>
    <w:p>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val="0"/>
        <w:keepLines w:val="0"/>
        <w:pageBreakBefore w:val="0"/>
        <w:widowControl w:val="0"/>
        <w:kinsoku/>
        <w:wordWrap/>
        <w:overflowPunct/>
        <w:topLinePunct w:val="0"/>
        <w:autoSpaceDE/>
        <w:autoSpaceDN/>
        <w:bidi w:val="0"/>
        <w:adjustRightInd/>
        <w:snapToGrid/>
        <w:spacing w:before="40" w:after="40" w:line="360" w:lineRule="auto"/>
        <w:jc w:val="left"/>
        <w:textAlignment w:val="auto"/>
        <w:rPr>
          <w:rFonts w:ascii="宋体" w:hAnsi="宋体" w:eastAsia="宋体" w:cs="宋体"/>
          <w:sz w:val="21"/>
          <w:szCs w:val="21"/>
        </w:rPr>
      </w:pPr>
      <w:r>
        <w:rPr>
          <w:rFonts w:ascii="宋体" w:hAnsi="宋体" w:eastAsia="宋体" w:cs="宋体"/>
          <w:sz w:val="21"/>
          <w:szCs w:val="21"/>
        </w:rPr>
        <w:t>公司计划不派发现金红利，不送红股，不以公积金转增股本。</w:t>
      </w:r>
    </w:p>
    <w:p>
      <w:pPr>
        <w:keepNext w:val="0"/>
        <w:keepLines w:val="0"/>
        <w:pageBreakBefore w:val="0"/>
        <w:widowControl w:val="0"/>
        <w:kinsoku/>
        <w:wordWrap/>
        <w:overflowPunct/>
        <w:topLinePunct w:val="0"/>
        <w:autoSpaceDE/>
        <w:autoSpaceDN/>
        <w:bidi w:val="0"/>
        <w:adjustRightInd/>
        <w:snapToGrid/>
        <w:spacing w:before="100" w:after="100" w:line="360" w:lineRule="auto"/>
        <w:jc w:val="left"/>
        <w:textAlignment w:val="auto"/>
        <w:rPr>
          <w:rFonts w:ascii="宋体" w:hAnsi="宋体" w:eastAsia="宋体" w:cs="宋体"/>
          <w:sz w:val="21"/>
          <w:szCs w:val="21"/>
        </w:rPr>
      </w:pPr>
      <w:r>
        <w:rPr>
          <w:rFonts w:ascii="宋体" w:hAnsi="宋体" w:eastAsia="宋体" w:cs="宋体"/>
          <w:sz w:val="21"/>
          <w:szCs w:val="21"/>
        </w:rPr>
        <w:t>董事会决议通过的本报告期优先股利润分配预案</w:t>
      </w:r>
    </w:p>
    <w:p>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keepLines/>
        <w:spacing w:before="300" w:after="300" w:line="320" w:lineRule="exact"/>
        <w:jc w:val="left"/>
        <w:outlineLvl w:val="1"/>
        <w:rPr>
          <w:rFonts w:ascii="宋体" w:hAnsi="宋体" w:eastAsia="宋体" w:cs="宋体"/>
          <w:b/>
          <w:bCs/>
          <w:sz w:val="24"/>
          <w:szCs w:val="24"/>
        </w:rPr>
      </w:pPr>
      <w:bookmarkStart w:id="1" w:name="_Toc988890"/>
      <w:r>
        <w:rPr>
          <w:rFonts w:ascii="宋体" w:hAnsi="宋体" w:eastAsia="宋体" w:cs="宋体"/>
          <w:b/>
          <w:bCs/>
          <w:sz w:val="24"/>
          <w:szCs w:val="24"/>
        </w:rPr>
        <w:t>二、公司基本情况</w:t>
      </w:r>
      <w:bookmarkEnd w:id="1"/>
    </w:p>
    <w:p>
      <w:pPr>
        <w:keepNext/>
        <w:keepLines/>
        <w:spacing w:before="300" w:after="300" w:line="280" w:lineRule="exact"/>
        <w:jc w:val="left"/>
        <w:outlineLvl w:val="2"/>
        <w:rPr>
          <w:rFonts w:ascii="宋体" w:hAnsi="宋体" w:eastAsia="宋体" w:cs="宋体"/>
          <w:b/>
          <w:bCs/>
          <w:sz w:val="21"/>
          <w:szCs w:val="21"/>
        </w:rPr>
      </w:pPr>
      <w:bookmarkStart w:id="2" w:name="_Toc988891"/>
      <w:r>
        <w:rPr>
          <w:rFonts w:ascii="宋体" w:hAnsi="宋体" w:eastAsia="宋体" w:cs="宋体"/>
          <w:b/>
          <w:bCs/>
          <w:sz w:val="21"/>
          <w:szCs w:val="21"/>
        </w:rPr>
        <w:t>1、公司简介</w:t>
      </w:r>
      <w:bookmarkEnd w:id="2"/>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2142"/>
        <w:gridCol w:w="1071"/>
        <w:gridCol w:w="1071"/>
        <w:gridCol w:w="21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股票简称</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中广核技</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股票代码</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000881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股票上市交易所</w:t>
            </w:r>
          </w:p>
        </w:tc>
        <w:tc>
          <w:tcPr>
            <w:tcW w:w="6426"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联系人和联系方式</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董事会秘书</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姓名</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杨新春</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吴卫卫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办公地址</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深圳市福田区深南大道2002号中广核大厦北楼19层</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深圳市福田区深南大道2002号中广核大厦北楼19层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0755-88619309</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0755-88619309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电子信箱</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yangxinchun@cgnpc.com.cn</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wuweiwei@cgnpc.com.cn</w:t>
            </w:r>
          </w:p>
        </w:tc>
      </w:tr>
    </w:tbl>
    <w:p>
      <w:pPr>
        <w:keepNext/>
        <w:keepLines/>
        <w:spacing w:before="300" w:after="300" w:line="280" w:lineRule="exact"/>
        <w:jc w:val="left"/>
        <w:outlineLvl w:val="2"/>
        <w:rPr>
          <w:rFonts w:ascii="宋体" w:hAnsi="宋体" w:eastAsia="宋体" w:cs="宋体"/>
          <w:b/>
          <w:bCs/>
          <w:sz w:val="21"/>
          <w:szCs w:val="21"/>
        </w:rPr>
      </w:pPr>
      <w:bookmarkStart w:id="3" w:name="_Toc988892"/>
      <w:r>
        <w:rPr>
          <w:rFonts w:ascii="宋体" w:hAnsi="宋体" w:eastAsia="宋体" w:cs="宋体"/>
          <w:b/>
          <w:bCs/>
          <w:sz w:val="21"/>
          <w:szCs w:val="21"/>
        </w:rPr>
        <w:t>2、主要会计数据和财务指标</w:t>
      </w:r>
      <w:bookmarkEnd w:id="3"/>
    </w:p>
    <w:p>
      <w:pPr>
        <w:spacing w:before="0" w:after="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142"/>
        <w:gridCol w:w="2147"/>
        <w:gridCol w:w="29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sz w:val="21"/>
                <w:szCs w:val="21"/>
              </w:rPr>
            </w:pPr>
          </w:p>
        </w:tc>
        <w:tc>
          <w:tcPr>
            <w:tcW w:w="21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21"/>
                <w:szCs w:val="21"/>
              </w:rPr>
            </w:pPr>
            <w:r>
              <w:rPr>
                <w:rFonts w:ascii="宋体" w:hAnsi="宋体" w:eastAsia="宋体" w:cs="宋体"/>
                <w:sz w:val="21"/>
                <w:szCs w:val="21"/>
              </w:rPr>
              <w:t>本报告期</w:t>
            </w:r>
          </w:p>
        </w:tc>
        <w:tc>
          <w:tcPr>
            <w:tcW w:w="214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21"/>
                <w:szCs w:val="21"/>
              </w:rPr>
            </w:pPr>
            <w:r>
              <w:rPr>
                <w:rFonts w:ascii="宋体" w:hAnsi="宋体" w:eastAsia="宋体" w:cs="宋体"/>
                <w:sz w:val="21"/>
                <w:szCs w:val="21"/>
              </w:rPr>
              <w:t>上年同期</w:t>
            </w:r>
          </w:p>
        </w:tc>
        <w:tc>
          <w:tcPr>
            <w:tcW w:w="29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21"/>
                <w:szCs w:val="21"/>
              </w:rPr>
            </w:pPr>
            <w:r>
              <w:rPr>
                <w:rFonts w:ascii="宋体" w:hAnsi="宋体" w:eastAsia="宋体" w:cs="宋体"/>
                <w:sz w:val="21"/>
                <w:szCs w:val="21"/>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营业收入（元）</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2,827,618,524.81</w:t>
            </w:r>
          </w:p>
        </w:tc>
        <w:tc>
          <w:tcPr>
            <w:tcW w:w="21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2,863,683,121.86</w:t>
            </w:r>
          </w:p>
        </w:tc>
        <w:tc>
          <w:tcPr>
            <w:tcW w:w="2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归属于上市公司股东的净利润（元）</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-86,577,822.95</w:t>
            </w:r>
          </w:p>
        </w:tc>
        <w:tc>
          <w:tcPr>
            <w:tcW w:w="21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-104,676,970.24</w:t>
            </w:r>
          </w:p>
        </w:tc>
        <w:tc>
          <w:tcPr>
            <w:tcW w:w="2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归属于上市公司股东的扣除非经常性损益的净利润（元）</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-131,470,835.53</w:t>
            </w:r>
          </w:p>
        </w:tc>
        <w:tc>
          <w:tcPr>
            <w:tcW w:w="21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-147,042,417.97</w:t>
            </w:r>
          </w:p>
        </w:tc>
        <w:tc>
          <w:tcPr>
            <w:tcW w:w="2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经营活动产生的现金流量净额（元）</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114,323,633.95</w:t>
            </w:r>
          </w:p>
        </w:tc>
        <w:tc>
          <w:tcPr>
            <w:tcW w:w="21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221,643,677.25</w:t>
            </w:r>
          </w:p>
        </w:tc>
        <w:tc>
          <w:tcPr>
            <w:tcW w:w="2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-48.42%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基本每股收益（元/股）</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-0.0916</w:t>
            </w:r>
          </w:p>
        </w:tc>
        <w:tc>
          <w:tcPr>
            <w:tcW w:w="21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-0.1107</w:t>
            </w:r>
          </w:p>
        </w:tc>
        <w:tc>
          <w:tcPr>
            <w:tcW w:w="2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稀释每股收益（元/股）</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-0.0916</w:t>
            </w:r>
          </w:p>
        </w:tc>
        <w:tc>
          <w:tcPr>
            <w:tcW w:w="21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-0.1107</w:t>
            </w:r>
          </w:p>
        </w:tc>
        <w:tc>
          <w:tcPr>
            <w:tcW w:w="2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加权平均净资产收益率</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-1.56%</w:t>
            </w:r>
          </w:p>
        </w:tc>
        <w:tc>
          <w:tcPr>
            <w:tcW w:w="21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-1.67%</w:t>
            </w:r>
          </w:p>
        </w:tc>
        <w:tc>
          <w:tcPr>
            <w:tcW w:w="2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增加</w:t>
            </w:r>
            <w:r>
              <w:rPr>
                <w:rFonts w:hint="default" w:ascii="Times New Roman" w:hAnsi="Times New Roman" w:eastAsia="宋体" w:cs="Times New Roman"/>
                <w:sz w:val="21"/>
                <w:szCs w:val="21"/>
              </w:rPr>
              <w:t>0.11</w:t>
            </w:r>
            <w:r>
              <w:rPr>
                <w:rFonts w:hint="eastAsia" w:ascii="Times New Roman" w:hAnsi="Times New Roman" w:eastAsia="宋体" w:cs="Times New Roman"/>
                <w:sz w:val="21"/>
                <w:szCs w:val="21"/>
                <w:lang w:val="en-US" w:eastAsia="zh-CN"/>
              </w:rPr>
              <w:t>个百分点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sz w:val="21"/>
                <w:szCs w:val="21"/>
              </w:rPr>
            </w:pPr>
          </w:p>
        </w:tc>
        <w:tc>
          <w:tcPr>
            <w:tcW w:w="21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本报告期末</w:t>
            </w:r>
          </w:p>
        </w:tc>
        <w:tc>
          <w:tcPr>
            <w:tcW w:w="214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上年度末</w:t>
            </w:r>
          </w:p>
        </w:tc>
        <w:tc>
          <w:tcPr>
            <w:tcW w:w="29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总资产（元）</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11,174,022,032.64</w:t>
            </w:r>
          </w:p>
        </w:tc>
        <w:tc>
          <w:tcPr>
            <w:tcW w:w="21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11,283,404,643.67</w:t>
            </w:r>
          </w:p>
        </w:tc>
        <w:tc>
          <w:tcPr>
            <w:tcW w:w="2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21"/>
                <w:szCs w:val="21"/>
              </w:rPr>
            </w:pPr>
            <w:r>
              <w:rPr>
                <w:rFonts w:ascii="宋体" w:hAnsi="宋体" w:eastAsia="宋体" w:cs="宋体"/>
                <w:sz w:val="21"/>
                <w:szCs w:val="21"/>
              </w:rPr>
              <w:t>归属于上市公司股东的净资产（元）</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5,501,795,031.58</w:t>
            </w:r>
          </w:p>
        </w:tc>
        <w:tc>
          <w:tcPr>
            <w:tcW w:w="21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5,586,012,022.44</w:t>
            </w:r>
          </w:p>
        </w:tc>
        <w:tc>
          <w:tcPr>
            <w:tcW w:w="2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-1.51%</w:t>
            </w:r>
          </w:p>
        </w:tc>
      </w:tr>
    </w:tbl>
    <w:p>
      <w:pPr>
        <w:keepNext/>
        <w:keepLines/>
        <w:spacing w:before="300" w:after="300" w:line="280" w:lineRule="exact"/>
        <w:jc w:val="left"/>
        <w:outlineLvl w:val="2"/>
        <w:rPr>
          <w:rFonts w:ascii="宋体" w:hAnsi="宋体" w:eastAsia="宋体" w:cs="宋体"/>
          <w:b/>
          <w:bCs/>
          <w:sz w:val="21"/>
          <w:szCs w:val="21"/>
        </w:rPr>
      </w:pPr>
      <w:bookmarkStart w:id="4" w:name="_Toc988893"/>
      <w:r>
        <w:rPr>
          <w:rFonts w:ascii="宋体" w:hAnsi="宋体" w:eastAsia="宋体" w:cs="宋体"/>
          <w:b/>
          <w:bCs/>
          <w:sz w:val="21"/>
          <w:szCs w:val="21"/>
        </w:rPr>
        <w:t>3、公司股东数量及持股情况</w:t>
      </w:r>
      <w:bookmarkEnd w:id="4"/>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806"/>
        <w:gridCol w:w="1142"/>
        <w:gridCol w:w="1084"/>
        <w:gridCol w:w="1120"/>
        <w:gridCol w:w="1203"/>
        <w:gridCol w:w="931"/>
        <w:gridCol w:w="12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报告期末普通股股东总数</w:t>
            </w:r>
          </w:p>
        </w:tc>
        <w:tc>
          <w:tcPr>
            <w:tcW w:w="1948"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42,548</w:t>
            </w:r>
          </w:p>
        </w:tc>
        <w:tc>
          <w:tcPr>
            <w:tcW w:w="340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报告期末表决权恢复的优先股股东总数</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持股5%以上的普通股股东或前10名普通股股东持股情况（不含通过转融通出借股份）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股东名称</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股东性质</w:t>
            </w:r>
          </w:p>
        </w:tc>
        <w:tc>
          <w:tcPr>
            <w:tcW w:w="8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持股比例</w:t>
            </w:r>
          </w:p>
        </w:tc>
        <w:tc>
          <w:tcPr>
            <w:tcW w:w="114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报告期末持有的普通股数量</w:t>
            </w:r>
          </w:p>
        </w:tc>
        <w:tc>
          <w:tcPr>
            <w:tcW w:w="108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报告期内增减变动情况</w:t>
            </w:r>
          </w:p>
        </w:tc>
        <w:tc>
          <w:tcPr>
            <w:tcW w:w="112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持有有限售条件的普通股数量</w:t>
            </w:r>
          </w:p>
        </w:tc>
        <w:tc>
          <w:tcPr>
            <w:tcW w:w="12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持有无限售条件的普通股数量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21"/>
                <w:szCs w:val="21"/>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21"/>
                <w:szCs w:val="21"/>
              </w:rPr>
            </w:pPr>
          </w:p>
        </w:tc>
        <w:tc>
          <w:tcPr>
            <w:tcW w:w="8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21"/>
                <w:szCs w:val="21"/>
              </w:rPr>
            </w:pPr>
          </w:p>
        </w:tc>
        <w:tc>
          <w:tcPr>
            <w:tcW w:w="114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21"/>
                <w:szCs w:val="21"/>
              </w:rPr>
            </w:pPr>
          </w:p>
        </w:tc>
        <w:tc>
          <w:tcPr>
            <w:tcW w:w="108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21"/>
                <w:szCs w:val="21"/>
              </w:rPr>
            </w:pPr>
          </w:p>
        </w:tc>
        <w:tc>
          <w:tcPr>
            <w:tcW w:w="112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21"/>
                <w:szCs w:val="21"/>
              </w:rPr>
            </w:pPr>
          </w:p>
        </w:tc>
        <w:tc>
          <w:tcPr>
            <w:tcW w:w="12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21"/>
                <w:szCs w:val="21"/>
              </w:rPr>
            </w:pPr>
          </w:p>
        </w:tc>
        <w:tc>
          <w:tcPr>
            <w:tcW w:w="93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股份状态</w:t>
            </w:r>
          </w:p>
        </w:tc>
        <w:tc>
          <w:tcPr>
            <w:tcW w:w="12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中广核核技术应用有限公司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国有法人</w:t>
            </w:r>
          </w:p>
        </w:tc>
        <w:tc>
          <w:tcPr>
            <w:tcW w:w="8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28.37%</w:t>
            </w:r>
          </w:p>
        </w:tc>
        <w:tc>
          <w:tcPr>
            <w:tcW w:w="1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268,191,898</w:t>
            </w:r>
          </w:p>
        </w:tc>
        <w:tc>
          <w:tcPr>
            <w:tcW w:w="10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10,279,926</w:t>
            </w:r>
          </w:p>
        </w:tc>
        <w:tc>
          <w:tcPr>
            <w:tcW w:w="11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28,558,024</w:t>
            </w:r>
          </w:p>
        </w:tc>
        <w:tc>
          <w:tcPr>
            <w:tcW w:w="12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239,633,874</w:t>
            </w: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不适用</w:t>
            </w: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中国大连国际经济技术合作集团有限公司</w:t>
            </w:r>
          </w:p>
        </w:tc>
        <w:tc>
          <w:tcPr>
            <w:tcW w:w="1071"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境内非国有法人</w:t>
            </w:r>
          </w:p>
        </w:tc>
        <w:tc>
          <w:tcPr>
            <w:tcW w:w="806"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12.58%</w:t>
            </w:r>
          </w:p>
        </w:tc>
        <w:tc>
          <w:tcPr>
            <w:tcW w:w="1142"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118,914,273</w:t>
            </w:r>
          </w:p>
        </w:tc>
        <w:tc>
          <w:tcPr>
            <w:tcW w:w="1084"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120"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62,141,491</w:t>
            </w:r>
          </w:p>
        </w:tc>
        <w:tc>
          <w:tcPr>
            <w:tcW w:w="120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56,772,782</w:t>
            </w: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质押</w:t>
            </w: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118,914,273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中国大连国际经济技术合作集团有限公司</w:t>
            </w:r>
          </w:p>
        </w:tc>
        <w:tc>
          <w:tcPr>
            <w:tcW w:w="1071"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境内非国有法人</w:t>
            </w:r>
          </w:p>
        </w:tc>
        <w:tc>
          <w:tcPr>
            <w:tcW w:w="806"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12.58%</w:t>
            </w:r>
          </w:p>
        </w:tc>
        <w:tc>
          <w:tcPr>
            <w:tcW w:w="1142"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118,914,273</w:t>
            </w:r>
          </w:p>
        </w:tc>
        <w:tc>
          <w:tcPr>
            <w:tcW w:w="1084"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120"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62,141,491</w:t>
            </w:r>
          </w:p>
        </w:tc>
        <w:tc>
          <w:tcPr>
            <w:tcW w:w="120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56,772,782</w:t>
            </w: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冻结</w:t>
            </w: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91,027,046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陈晓敏</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境内自然人</w:t>
            </w:r>
          </w:p>
        </w:tc>
        <w:tc>
          <w:tcPr>
            <w:tcW w:w="8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4.34%</w:t>
            </w:r>
          </w:p>
        </w:tc>
        <w:tc>
          <w:tcPr>
            <w:tcW w:w="1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41,009,063</w:t>
            </w:r>
          </w:p>
        </w:tc>
        <w:tc>
          <w:tcPr>
            <w:tcW w:w="10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1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11,469,623</w:t>
            </w:r>
          </w:p>
        </w:tc>
        <w:tc>
          <w:tcPr>
            <w:tcW w:w="12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29,539,440</w:t>
            </w: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质押</w:t>
            </w: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江苏达胜热缩材料有限公司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境内非国有法人</w:t>
            </w:r>
          </w:p>
        </w:tc>
        <w:tc>
          <w:tcPr>
            <w:tcW w:w="8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1.86%</w:t>
            </w:r>
          </w:p>
        </w:tc>
        <w:tc>
          <w:tcPr>
            <w:tcW w:w="1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17,590,750</w:t>
            </w:r>
          </w:p>
        </w:tc>
        <w:tc>
          <w:tcPr>
            <w:tcW w:w="10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1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8,795,375</w:t>
            </w:r>
          </w:p>
        </w:tc>
        <w:tc>
          <w:tcPr>
            <w:tcW w:w="12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8,795,375</w:t>
            </w: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不适用</w:t>
            </w: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芜湖渝宾投资中心（有限合伙）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境内非国有法人</w:t>
            </w:r>
          </w:p>
        </w:tc>
        <w:tc>
          <w:tcPr>
            <w:tcW w:w="8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1.52%</w:t>
            </w:r>
          </w:p>
        </w:tc>
        <w:tc>
          <w:tcPr>
            <w:tcW w:w="1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14,340,344</w:t>
            </w:r>
          </w:p>
        </w:tc>
        <w:tc>
          <w:tcPr>
            <w:tcW w:w="10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1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2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14,340,344</w:t>
            </w: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不适用</w:t>
            </w: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中广核资本控股有限公司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国有法人</w:t>
            </w:r>
          </w:p>
        </w:tc>
        <w:tc>
          <w:tcPr>
            <w:tcW w:w="8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1.33%</w:t>
            </w:r>
          </w:p>
        </w:tc>
        <w:tc>
          <w:tcPr>
            <w:tcW w:w="1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12,557,084</w:t>
            </w:r>
          </w:p>
        </w:tc>
        <w:tc>
          <w:tcPr>
            <w:tcW w:w="10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1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2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12,557,084</w:t>
            </w: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不适用</w:t>
            </w: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单永东</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境内自然人</w:t>
            </w:r>
          </w:p>
        </w:tc>
        <w:tc>
          <w:tcPr>
            <w:tcW w:w="8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0.85%</w:t>
            </w:r>
          </w:p>
        </w:tc>
        <w:tc>
          <w:tcPr>
            <w:tcW w:w="1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8,032,777</w:t>
            </w:r>
          </w:p>
        </w:tc>
        <w:tc>
          <w:tcPr>
            <w:tcW w:w="10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-100,000</w:t>
            </w:r>
          </w:p>
        </w:tc>
        <w:tc>
          <w:tcPr>
            <w:tcW w:w="11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3,735,827</w:t>
            </w:r>
          </w:p>
        </w:tc>
        <w:tc>
          <w:tcPr>
            <w:tcW w:w="12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4,296,950</w:t>
            </w: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不适用</w:t>
            </w: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吴翰</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境内自然人</w:t>
            </w:r>
          </w:p>
        </w:tc>
        <w:tc>
          <w:tcPr>
            <w:tcW w:w="8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0.71%</w:t>
            </w:r>
          </w:p>
        </w:tc>
        <w:tc>
          <w:tcPr>
            <w:tcW w:w="1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6,670,000</w:t>
            </w:r>
          </w:p>
        </w:tc>
        <w:tc>
          <w:tcPr>
            <w:tcW w:w="10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-130,000</w:t>
            </w:r>
          </w:p>
        </w:tc>
        <w:tc>
          <w:tcPr>
            <w:tcW w:w="11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c>
          <w:tcPr>
            <w:tcW w:w="12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6,670,000</w:t>
            </w: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不适用</w:t>
            </w: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魏建良</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境内自然人</w:t>
            </w:r>
          </w:p>
        </w:tc>
        <w:tc>
          <w:tcPr>
            <w:tcW w:w="8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0.67%</w:t>
            </w:r>
          </w:p>
        </w:tc>
        <w:tc>
          <w:tcPr>
            <w:tcW w:w="1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6,306,778</w:t>
            </w:r>
          </w:p>
        </w:tc>
        <w:tc>
          <w:tcPr>
            <w:tcW w:w="10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80,400</w:t>
            </w:r>
          </w:p>
        </w:tc>
        <w:tc>
          <w:tcPr>
            <w:tcW w:w="11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6,226,378</w:t>
            </w:r>
          </w:p>
        </w:tc>
        <w:tc>
          <w:tcPr>
            <w:tcW w:w="12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80,400</w:t>
            </w: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不适用</w:t>
            </w: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陈林</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境内自然人</w:t>
            </w:r>
          </w:p>
        </w:tc>
        <w:tc>
          <w:tcPr>
            <w:tcW w:w="8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0.61%</w:t>
            </w:r>
          </w:p>
        </w:tc>
        <w:tc>
          <w:tcPr>
            <w:tcW w:w="1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5,794,056</w:t>
            </w:r>
          </w:p>
        </w:tc>
        <w:tc>
          <w:tcPr>
            <w:tcW w:w="108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-8,900</w:t>
            </w:r>
          </w:p>
        </w:tc>
        <w:tc>
          <w:tcPr>
            <w:tcW w:w="11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1,858,688</w:t>
            </w:r>
          </w:p>
        </w:tc>
        <w:tc>
          <w:tcPr>
            <w:tcW w:w="12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3,935,368</w:t>
            </w:r>
          </w:p>
        </w:tc>
        <w:tc>
          <w:tcPr>
            <w:tcW w:w="9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不适用</w:t>
            </w:r>
          </w:p>
        </w:tc>
        <w:tc>
          <w:tcPr>
            <w:tcW w:w="121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战略投资者或一般法人因配售新股成为前10名普通股股东的情况</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上述股东关联关系或一致行动的说明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截止2024年6月30日，中广核资本系控股股东中广核核技术一致行动人。公司未知其他前10名普通股股东之间是否存在关联关系或一致行动人的情形。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上述股东涉及委托/受托表决权、放弃表决权情况的说明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前10名股东中存在回购专户的特别说明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w:t>
            </w:r>
          </w:p>
        </w:tc>
      </w:tr>
    </w:tbl>
    <w:p>
      <w:pPr>
        <w:keepNext w:val="0"/>
        <w:keepLines w:val="0"/>
        <w:pageBreakBefore w:val="0"/>
        <w:widowControl w:val="0"/>
        <w:kinsoku/>
        <w:wordWrap/>
        <w:overflowPunct/>
        <w:topLinePunct w:val="0"/>
        <w:autoSpaceDE/>
        <w:autoSpaceDN/>
        <w:bidi w:val="0"/>
        <w:adjustRightInd/>
        <w:snapToGrid/>
        <w:spacing w:before="100" w:after="100" w:line="360" w:lineRule="auto"/>
        <w:jc w:val="left"/>
        <w:textAlignment w:val="auto"/>
        <w:rPr>
          <w:rFonts w:ascii="宋体" w:hAnsi="宋体" w:eastAsia="宋体" w:cs="宋体"/>
          <w:sz w:val="21"/>
          <w:szCs w:val="21"/>
        </w:rPr>
      </w:pPr>
      <w:r>
        <w:rPr>
          <w:rFonts w:ascii="宋体" w:hAnsi="宋体" w:eastAsia="宋体" w:cs="宋体"/>
          <w:sz w:val="21"/>
          <w:szCs w:val="21"/>
        </w:rPr>
        <w:t>持股5%以上股东、前10名股东及前10名无限售流通股股东参与转融通业务出借股份情况</w:t>
      </w:r>
    </w:p>
    <w:p>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val="0"/>
        <w:keepLines w:val="0"/>
        <w:pageBreakBefore w:val="0"/>
        <w:widowControl w:val="0"/>
        <w:kinsoku/>
        <w:wordWrap/>
        <w:overflowPunct/>
        <w:topLinePunct w:val="0"/>
        <w:autoSpaceDE/>
        <w:autoSpaceDN/>
        <w:bidi w:val="0"/>
        <w:adjustRightInd/>
        <w:snapToGrid/>
        <w:spacing w:before="100" w:after="100" w:line="360" w:lineRule="auto"/>
        <w:jc w:val="left"/>
        <w:textAlignment w:val="auto"/>
        <w:rPr>
          <w:rFonts w:ascii="宋体" w:hAnsi="宋体" w:eastAsia="宋体" w:cs="宋体"/>
          <w:sz w:val="21"/>
          <w:szCs w:val="21"/>
        </w:rPr>
      </w:pPr>
      <w:r>
        <w:rPr>
          <w:rFonts w:ascii="宋体" w:hAnsi="宋体" w:eastAsia="宋体" w:cs="宋体"/>
          <w:sz w:val="21"/>
          <w:szCs w:val="21"/>
        </w:rPr>
        <w:t>前10名股东及前10名无限售流通股股东因转融通出借/归还原因导致较上期发生变化</w:t>
      </w:r>
    </w:p>
    <w:p>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keepLines/>
        <w:spacing w:before="300" w:after="300" w:line="280" w:lineRule="exact"/>
        <w:jc w:val="left"/>
        <w:outlineLvl w:val="2"/>
        <w:rPr>
          <w:rFonts w:ascii="宋体" w:hAnsi="宋体" w:eastAsia="宋体" w:cs="宋体"/>
          <w:b/>
          <w:bCs/>
          <w:sz w:val="21"/>
          <w:szCs w:val="21"/>
        </w:rPr>
      </w:pPr>
      <w:bookmarkStart w:id="5" w:name="_Toc988894"/>
      <w:r>
        <w:rPr>
          <w:rFonts w:ascii="宋体" w:hAnsi="宋体" w:eastAsia="宋体" w:cs="宋体"/>
          <w:b/>
          <w:bCs/>
          <w:sz w:val="21"/>
          <w:szCs w:val="21"/>
        </w:rPr>
        <w:t>4、控股股东或实际控制人变更情况</w:t>
      </w:r>
      <w:bookmarkEnd w:id="5"/>
    </w:p>
    <w:p>
      <w:pPr>
        <w:keepNext w:val="0"/>
        <w:keepLines w:val="0"/>
        <w:pageBreakBefore w:val="0"/>
        <w:widowControl w:val="0"/>
        <w:kinsoku/>
        <w:wordWrap/>
        <w:overflowPunct/>
        <w:topLinePunct w:val="0"/>
        <w:autoSpaceDE/>
        <w:autoSpaceDN/>
        <w:bidi w:val="0"/>
        <w:adjustRightInd/>
        <w:snapToGrid/>
        <w:spacing w:before="40" w:after="40" w:line="360" w:lineRule="auto"/>
        <w:jc w:val="left"/>
        <w:textAlignment w:val="auto"/>
        <w:rPr>
          <w:rFonts w:ascii="宋体" w:hAnsi="宋体" w:eastAsia="宋体" w:cs="宋体"/>
          <w:sz w:val="21"/>
          <w:szCs w:val="21"/>
        </w:rPr>
      </w:pPr>
      <w:r>
        <w:rPr>
          <w:rFonts w:ascii="宋体" w:hAnsi="宋体" w:eastAsia="宋体" w:cs="宋体"/>
          <w:sz w:val="21"/>
          <w:szCs w:val="21"/>
        </w:rPr>
        <w:t>控股股东报告期内变更</w:t>
      </w:r>
    </w:p>
    <w:p>
      <w:pPr>
        <w:keepNext w:val="0"/>
        <w:keepLines w:val="0"/>
        <w:pageBreakBefore w:val="0"/>
        <w:widowControl w:val="0"/>
        <w:kinsoku/>
        <w:wordWrap/>
        <w:overflowPunct/>
        <w:topLinePunct w:val="0"/>
        <w:autoSpaceDE/>
        <w:autoSpaceDN/>
        <w:bidi w:val="0"/>
        <w:adjustRightInd/>
        <w:snapToGrid/>
        <w:spacing w:before="40" w:after="40" w:line="360" w:lineRule="auto"/>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val="0"/>
        <w:keepLines w:val="0"/>
        <w:pageBreakBefore w:val="0"/>
        <w:widowControl w:val="0"/>
        <w:kinsoku/>
        <w:wordWrap/>
        <w:overflowPunct/>
        <w:topLinePunct w:val="0"/>
        <w:autoSpaceDE/>
        <w:autoSpaceDN/>
        <w:bidi w:val="0"/>
        <w:adjustRightInd/>
        <w:snapToGrid/>
        <w:spacing w:before="40" w:after="40" w:line="360" w:lineRule="auto"/>
        <w:jc w:val="left"/>
        <w:textAlignment w:val="auto"/>
        <w:rPr>
          <w:rFonts w:ascii="宋体" w:hAnsi="宋体" w:eastAsia="宋体" w:cs="宋体"/>
          <w:sz w:val="21"/>
          <w:szCs w:val="21"/>
        </w:rPr>
      </w:pPr>
      <w:r>
        <w:rPr>
          <w:rFonts w:ascii="宋体" w:hAnsi="宋体" w:eastAsia="宋体" w:cs="宋体"/>
          <w:sz w:val="21"/>
          <w:szCs w:val="21"/>
        </w:rPr>
        <w:t>公司报告期控股股东未发生变更。</w:t>
      </w:r>
    </w:p>
    <w:p>
      <w:pPr>
        <w:keepNext w:val="0"/>
        <w:keepLines w:val="0"/>
        <w:pageBreakBefore w:val="0"/>
        <w:widowControl w:val="0"/>
        <w:kinsoku/>
        <w:wordWrap/>
        <w:overflowPunct/>
        <w:topLinePunct w:val="0"/>
        <w:autoSpaceDE/>
        <w:autoSpaceDN/>
        <w:bidi w:val="0"/>
        <w:adjustRightInd/>
        <w:snapToGrid/>
        <w:spacing w:before="100" w:after="100" w:line="360" w:lineRule="auto"/>
        <w:jc w:val="left"/>
        <w:textAlignment w:val="auto"/>
        <w:rPr>
          <w:rFonts w:ascii="宋体" w:hAnsi="宋体" w:eastAsia="宋体" w:cs="宋体"/>
          <w:sz w:val="21"/>
          <w:szCs w:val="21"/>
        </w:rPr>
      </w:pPr>
      <w:r>
        <w:rPr>
          <w:rFonts w:ascii="宋体" w:hAnsi="宋体" w:eastAsia="宋体" w:cs="宋体"/>
          <w:sz w:val="21"/>
          <w:szCs w:val="21"/>
        </w:rPr>
        <w:t>实际控制人报告期内变更</w:t>
      </w:r>
    </w:p>
    <w:p>
      <w:pPr>
        <w:keepNext w:val="0"/>
        <w:keepLines w:val="0"/>
        <w:pageBreakBefore w:val="0"/>
        <w:widowControl w:val="0"/>
        <w:kinsoku/>
        <w:wordWrap/>
        <w:overflowPunct/>
        <w:topLinePunct w:val="0"/>
        <w:autoSpaceDE/>
        <w:autoSpaceDN/>
        <w:bidi w:val="0"/>
        <w:adjustRightInd/>
        <w:snapToGrid/>
        <w:spacing w:before="40" w:after="40" w:line="360" w:lineRule="auto"/>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val="0"/>
        <w:keepLines w:val="0"/>
        <w:pageBreakBefore w:val="0"/>
        <w:widowControl w:val="0"/>
        <w:kinsoku/>
        <w:wordWrap/>
        <w:overflowPunct/>
        <w:topLinePunct w:val="0"/>
        <w:autoSpaceDE/>
        <w:autoSpaceDN/>
        <w:bidi w:val="0"/>
        <w:adjustRightInd/>
        <w:snapToGrid/>
        <w:spacing w:before="40" w:after="40" w:line="360" w:lineRule="auto"/>
        <w:jc w:val="left"/>
        <w:textAlignment w:val="auto"/>
        <w:rPr>
          <w:rFonts w:ascii="宋体" w:hAnsi="宋体" w:eastAsia="宋体" w:cs="宋体"/>
          <w:sz w:val="21"/>
          <w:szCs w:val="21"/>
        </w:rPr>
      </w:pPr>
      <w:r>
        <w:rPr>
          <w:rFonts w:ascii="宋体" w:hAnsi="宋体" w:eastAsia="宋体" w:cs="宋体"/>
          <w:sz w:val="21"/>
          <w:szCs w:val="21"/>
        </w:rPr>
        <w:t>公司报告期实际控制人未发生变更。</w:t>
      </w:r>
    </w:p>
    <w:p>
      <w:pPr>
        <w:keepNext/>
        <w:keepLines/>
        <w:spacing w:before="300" w:after="300" w:line="280" w:lineRule="exact"/>
        <w:jc w:val="left"/>
        <w:outlineLvl w:val="2"/>
        <w:rPr>
          <w:rFonts w:ascii="宋体" w:hAnsi="宋体" w:eastAsia="宋体" w:cs="宋体"/>
          <w:b/>
          <w:bCs/>
          <w:sz w:val="21"/>
          <w:szCs w:val="21"/>
        </w:rPr>
      </w:pPr>
      <w:bookmarkStart w:id="6" w:name="_Toc988895"/>
      <w:r>
        <w:rPr>
          <w:rFonts w:ascii="宋体" w:hAnsi="宋体" w:eastAsia="宋体" w:cs="宋体"/>
          <w:b/>
          <w:bCs/>
          <w:sz w:val="21"/>
          <w:szCs w:val="21"/>
        </w:rPr>
        <w:t>5、公司优先股股东总数及前10名优先股股东持股情况表</w:t>
      </w:r>
      <w:bookmarkEnd w:id="6"/>
    </w:p>
    <w:p>
      <w:pPr>
        <w:keepNext w:val="0"/>
        <w:keepLines w:val="0"/>
        <w:pageBreakBefore w:val="0"/>
        <w:widowControl w:val="0"/>
        <w:kinsoku/>
        <w:wordWrap/>
        <w:overflowPunct/>
        <w:topLinePunct w:val="0"/>
        <w:autoSpaceDE/>
        <w:autoSpaceDN/>
        <w:bidi w:val="0"/>
        <w:adjustRightInd/>
        <w:snapToGrid/>
        <w:spacing w:before="40" w:after="40" w:line="360" w:lineRule="auto"/>
        <w:jc w:val="left"/>
        <w:textAlignment w:val="auto"/>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val="0"/>
        <w:keepLines w:val="0"/>
        <w:pageBreakBefore w:val="0"/>
        <w:widowControl w:val="0"/>
        <w:kinsoku/>
        <w:wordWrap/>
        <w:overflowPunct/>
        <w:topLinePunct w:val="0"/>
        <w:autoSpaceDE/>
        <w:autoSpaceDN/>
        <w:bidi w:val="0"/>
        <w:adjustRightInd/>
        <w:snapToGrid/>
        <w:spacing w:before="0" w:after="0" w:line="360" w:lineRule="auto"/>
        <w:jc w:val="left"/>
        <w:textAlignment w:val="auto"/>
        <w:rPr>
          <w:rFonts w:ascii="宋体" w:hAnsi="宋体" w:eastAsia="宋体" w:cs="宋体"/>
          <w:sz w:val="21"/>
          <w:szCs w:val="21"/>
        </w:rPr>
      </w:pPr>
      <w:r>
        <w:rPr>
          <w:rFonts w:ascii="宋体" w:hAnsi="宋体" w:eastAsia="宋体" w:cs="宋体"/>
          <w:sz w:val="21"/>
          <w:szCs w:val="21"/>
        </w:rPr>
        <w:t>公司报告期无优先股股东持股情况。</w:t>
      </w:r>
    </w:p>
    <w:p>
      <w:pPr>
        <w:keepNext/>
        <w:keepLines/>
        <w:spacing w:before="300" w:after="300" w:line="280" w:lineRule="exact"/>
        <w:jc w:val="left"/>
        <w:outlineLvl w:val="2"/>
        <w:rPr>
          <w:rFonts w:ascii="宋体" w:hAnsi="宋体" w:eastAsia="宋体" w:cs="宋体"/>
          <w:b/>
          <w:bCs/>
          <w:sz w:val="21"/>
          <w:szCs w:val="21"/>
        </w:rPr>
      </w:pPr>
      <w:bookmarkStart w:id="7" w:name="_Toc988896"/>
      <w:r>
        <w:rPr>
          <w:rFonts w:ascii="宋体" w:hAnsi="宋体" w:eastAsia="宋体" w:cs="宋体"/>
          <w:b/>
          <w:bCs/>
          <w:sz w:val="21"/>
          <w:szCs w:val="21"/>
        </w:rPr>
        <w:t>6、在半年度报告批准报出日存续的债券情况</w:t>
      </w:r>
      <w:bookmarkEnd w:id="7"/>
    </w:p>
    <w:p>
      <w:pPr>
        <w:spacing w:before="40" w:after="40" w:line="240" w:lineRule="exact"/>
        <w:jc w:val="left"/>
        <w:rPr>
          <w:rFonts w:ascii="宋体" w:hAnsi="宋体" w:eastAsia="宋体" w:cs="宋体"/>
          <w:sz w:val="21"/>
          <w:szCs w:val="21"/>
        </w:rPr>
      </w:pPr>
      <w:r>
        <w:rPr>
          <w:rFonts w:ascii="宋体" w:hAnsi="宋体" w:eastAsia="宋体" w:cs="宋体"/>
          <w:sz w:val="21"/>
          <w:szCs w:val="21"/>
        </w:rPr>
        <w:t xml:space="preserve">□适用 </w:t>
      </w:r>
      <w:r>
        <w:rPr>
          <w:rFonts w:ascii="宋体" w:hAnsi="宋体" w:eastAsia="宋体" w:cs="宋体"/>
          <w:sz w:val="21"/>
          <w:szCs w:val="21"/>
        </w:rPr>
        <w:sym w:font="Wingdings 2" w:char="F052"/>
      </w:r>
      <w:r>
        <w:rPr>
          <w:rFonts w:ascii="宋体" w:hAnsi="宋体" w:eastAsia="宋体" w:cs="宋体"/>
          <w:sz w:val="21"/>
          <w:szCs w:val="21"/>
        </w:rPr>
        <w:t>不适用</w:t>
      </w:r>
    </w:p>
    <w:p>
      <w:pPr>
        <w:keepNext/>
        <w:keepLines/>
        <w:spacing w:before="300" w:after="300" w:line="320" w:lineRule="exact"/>
        <w:jc w:val="left"/>
        <w:outlineLvl w:val="1"/>
        <w:rPr>
          <w:rFonts w:ascii="宋体" w:hAnsi="宋体" w:eastAsia="宋体" w:cs="宋体"/>
          <w:b/>
          <w:bCs/>
          <w:sz w:val="24"/>
          <w:szCs w:val="24"/>
        </w:rPr>
      </w:pPr>
      <w:bookmarkStart w:id="8" w:name="_Toc988897"/>
      <w:r>
        <w:rPr>
          <w:rFonts w:ascii="宋体" w:hAnsi="宋体" w:eastAsia="宋体" w:cs="宋体"/>
          <w:b/>
          <w:bCs/>
          <w:sz w:val="24"/>
          <w:szCs w:val="24"/>
        </w:rPr>
        <w:t>三、重要事项</w:t>
      </w:r>
      <w:bookmarkEnd w:id="8"/>
    </w:p>
    <w:p>
      <w:pPr>
        <w:pStyle w:val="2"/>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报告期内，公司面对困难与机遇，坚定推进“A+”战略，按照“筑基之年”总要求，紧紧围绕年度目标和重点战略任务，以科技创新引领高质量发展，以改革、完善激励机制，全面提升公司的经营活力。</w:t>
      </w:r>
    </w:p>
    <w:p>
      <w:pPr>
        <w:pStyle w:val="2"/>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报告期内，公司实现营业总收入28.28亿元，归属于上市公司股东的净利润为-0.87亿元，与去年同期相比亏损略有收窄。报告期内亏损的主要原因是新材料业务不及预期及培育期业务亏损所致。其中，新材料业务利润总额同比降低0.35亿元，主要为电缆、电信行业产品售价走低，竞争加剧，虽订单量增长，但毛利率较上年同期降低近3个百分点；电子束处理特种废物、硅光电倍增器、医疗健康业务处于培育期，研发及市场推广的持续投入导致亏损。</w:t>
      </w:r>
    </w:p>
    <w:p>
      <w:pPr>
        <w:pStyle w:val="2"/>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2024年下半年公司将持续积极担当作为，根据上半年经营发展存在问题，聚焦压实经营目标、子公司经营提升、本部赋能发展等重点工作，同时进一步加大科研投入，加快科技成果转化，挖潜存量业务、拓展增量业务，为推进高质量发展积蓄能量动力。</w:t>
      </w:r>
      <w:bookmarkStart w:id="9" w:name="_GoBack"/>
      <w:bookmarkEnd w:id="9"/>
    </w:p>
    <w:p>
      <w:pPr>
        <w:pStyle w:val="2"/>
        <w:rPr>
          <w:rFonts w:hint="default" w:ascii="Times New Roman" w:hAnsi="Times New Roman" w:eastAsia="宋体" w:cs="Times New Roman"/>
          <w:b w:val="0"/>
          <w:bCs w:val="0"/>
          <w:sz w:val="21"/>
          <w:szCs w:val="21"/>
        </w:rPr>
      </w:pPr>
    </w:p>
    <w:p>
      <w:pPr>
        <w:pStyle w:val="2"/>
        <w:rPr>
          <w:rFonts w:hint="default" w:ascii="Times New Roman" w:hAnsi="Times New Roman" w:eastAsia="宋体" w:cs="Times New Roman"/>
          <w:b w:val="0"/>
          <w:bCs w:val="0"/>
          <w:sz w:val="21"/>
          <w:szCs w:val="21"/>
        </w:rPr>
      </w:pPr>
    </w:p>
    <w:p>
      <w:pPr>
        <w:pStyle w:val="2"/>
        <w:rPr>
          <w:rFonts w:hint="default" w:ascii="Times New Roman" w:hAnsi="Times New Roman" w:eastAsia="宋体" w:cs="Times New Roman"/>
          <w:b w:val="0"/>
          <w:bCs w:val="0"/>
          <w:sz w:val="21"/>
          <w:szCs w:val="21"/>
        </w:rPr>
      </w:pPr>
    </w:p>
    <w:p>
      <w:pPr>
        <w:snapToGrid w:val="0"/>
        <w:spacing w:line="360" w:lineRule="auto"/>
        <w:ind w:firstLine="480" w:firstLineChars="200"/>
        <w:jc w:val="righ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中广核核技术发展股份有限公司</w:t>
      </w:r>
    </w:p>
    <w:p>
      <w:pPr>
        <w:snapToGrid w:val="0"/>
        <w:spacing w:line="360" w:lineRule="auto"/>
        <w:ind w:firstLine="480" w:firstLineChars="200"/>
        <w:jc w:val="righ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董事会</w:t>
      </w:r>
    </w:p>
    <w:p>
      <w:pPr>
        <w:snapToGrid w:val="0"/>
        <w:spacing w:line="360" w:lineRule="auto"/>
        <w:ind w:firstLine="480" w:firstLineChars="200"/>
        <w:jc w:val="right"/>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2024年</w:t>
      </w:r>
      <w:r>
        <w:rPr>
          <w:rFonts w:hint="default" w:ascii="Times New Roman" w:hAnsi="Times New Roman" w:eastAsia="宋体" w:cs="Times New Roman"/>
          <w:b/>
          <w:sz w:val="24"/>
          <w:szCs w:val="24"/>
          <w:lang w:val="en-US" w:eastAsia="zh-CN"/>
        </w:rPr>
        <w:t>8</w:t>
      </w:r>
      <w:r>
        <w:rPr>
          <w:rFonts w:hint="default" w:ascii="Times New Roman" w:hAnsi="Times New Roman" w:eastAsia="宋体" w:cs="Times New Roman"/>
          <w:b/>
          <w:sz w:val="24"/>
          <w:szCs w:val="24"/>
        </w:rPr>
        <w:t>月</w:t>
      </w:r>
      <w:r>
        <w:rPr>
          <w:rFonts w:hint="default" w:ascii="Times New Roman" w:hAnsi="Times New Roman" w:eastAsia="宋体" w:cs="Times New Roman"/>
          <w:b/>
          <w:sz w:val="24"/>
          <w:szCs w:val="24"/>
          <w:lang w:val="en-US" w:eastAsia="zh-CN"/>
        </w:rPr>
        <w:t>30</w:t>
      </w:r>
      <w:r>
        <w:rPr>
          <w:rFonts w:hint="default" w:ascii="Times New Roman" w:hAnsi="Times New Roman" w:eastAsia="宋体" w:cs="Times New Roman"/>
          <w:b/>
          <w:sz w:val="24"/>
          <w:szCs w:val="24"/>
        </w:rPr>
        <w:t>日</w:t>
      </w:r>
    </w:p>
    <w:p>
      <w:pPr>
        <w:pStyle w:val="4"/>
        <w:keepNext w:val="0"/>
        <w:keepLines w:val="0"/>
        <w:widowControl/>
        <w:suppressLineNumbers w:val="0"/>
      </w:pP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中广核核技术发展股份有限公司2024年半年度报告摘要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compat>
    <w:doNotExpandShiftReturn/>
    <w:useFELayout/>
    <w:compatSetting w:name="compatibilityMode" w:uri="http://schemas.microsoft.com/office/word" w:val="14"/>
  </w:compat>
  <w:rsids>
    <w:rsidRoot w:val="00000000"/>
    <w:rsid w:val="20E14F19"/>
    <w:rsid w:val="43DD4F0C"/>
    <w:rsid w:val="45D3461A"/>
    <w:rsid w:val="54120C58"/>
    <w:rsid w:val="54B274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560" w:lineRule="exact"/>
      <w:ind w:firstLine="624"/>
      <w:jc w:val="left"/>
      <w:textAlignment w:val="baseline"/>
    </w:pPr>
    <w:rPr>
      <w:snapToGrid/>
    </w:rPr>
  </w:style>
  <w:style w:type="paragraph" w:styleId="3">
    <w:name w:val="table of figures"/>
    <w:basedOn w:val="1"/>
    <w:next w:val="1"/>
    <w:qFormat/>
    <w:uiPriority w:val="0"/>
    <w:pPr>
      <w:widowControl w:val="0"/>
      <w:spacing w:line="360" w:lineRule="auto"/>
      <w:ind w:left="200" w:leftChars="200" w:hanging="200" w:hangingChars="200"/>
      <w:jc w:val="both"/>
    </w:pPr>
    <w:rPr>
      <w:rFonts w:ascii="仿宋_GB2312" w:hAnsi="仿宋_GB2312" w:eastAsia="仿宋_GB2312" w:cs="Times New Roman"/>
      <w:snapToGrid w:val="0"/>
      <w:kern w:val="2"/>
      <w:sz w:val="36"/>
      <w:szCs w:val="2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TotalTime>1</TotalTime>
  <ScaleCrop>false</ScaleCrop>
  <LinksUpToDate>false</LinksUpToDate>
  <Application>WPS Office_11.8.2.12251_F1E327BC-269C-435d-A152-05C5408002CA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2024-08-20T06:44:00Z</dcterms:created>
  <dc:creator>P194919</dc:creator>
  <cp:lastModifiedBy>P194919</cp:lastModifiedBy>
  <dcterms:modified xsi:type="dcterms:W3CDTF">2024-08-27T07:18:08Z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7E0CC8BA639346EBB50B24A65444ACAE</vt:lpwstr>
  </property>
</Properties>
</file>